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adjustRightInd w:val="0"/>
        <w:snapToGrid w:val="0"/>
        <w:spacing w:before="0" w:beforeLines="0" w:after="0" w:afterLines="0" w:line="590" w:lineRule="exact"/>
        <w:ind w:firstLine="0" w:firstLineChars="0"/>
        <w:jc w:val="left"/>
        <w:rPr>
          <w:rFonts w:hint="eastAsia" w:ascii="黑体" w:hAnsi="黑体" w:eastAsia="黑体" w:cs="黑体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bookmarkStart w:id="0" w:name="attacheName_1ee4af51cb0d0d217694e3577189be74"/>
      <w:r>
        <w:rPr>
          <w:rFonts w:hint="eastAsia" w:ascii="黑体" w:hAnsi="黑体" w:eastAsia="黑体" w:cs="黑体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附件11</w:t>
      </w:r>
    </w:p>
    <w:p>
      <w:pPr>
        <w:pStyle w:val="9"/>
        <w:keepNext w:val="0"/>
        <w:keepLines w:val="0"/>
        <w:adjustRightInd w:val="0"/>
        <w:snapToGrid w:val="0"/>
        <w:spacing w:before="0" w:beforeLines="0" w:after="0" w:afterLines="0" w:line="590" w:lineRule="exact"/>
        <w:ind w:firstLine="0" w:firstLineChars="0"/>
        <w:jc w:val="left"/>
        <w:rPr>
          <w:rFonts w:hint="default" w:ascii="黑体" w:hAnsi="黑体" w:eastAsia="黑体" w:cs="黑体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bookmarkStart w:id="1" w:name="_GoBack"/>
      <w:bookmarkEnd w:id="1"/>
    </w:p>
    <w:p>
      <w:pPr>
        <w:pStyle w:val="3"/>
        <w:keepNext w:val="0"/>
        <w:keepLines w:val="0"/>
        <w:widowControl w:val="0"/>
        <w:adjustRightInd w:val="0"/>
        <w:snapToGrid w:val="0"/>
        <w:spacing w:beforeLines="0" w:afterLines="0" w:line="590" w:lineRule="exact"/>
        <w:ind w:firstLine="0" w:firstLineChars="0"/>
        <w:jc w:val="center"/>
        <w:rPr>
          <w:rFonts w:hint="eastAsia" w:ascii="方正小标宋_GBK" w:hAnsi="方正小标宋_GBK" w:eastAsia="方正小标宋_GBK" w:cs="方正小标宋_GBK"/>
          <w:snapToGrid w:val="0"/>
          <w:color w:val="auto"/>
          <w:spacing w:val="0"/>
          <w:kern w:val="0"/>
          <w:sz w:val="44"/>
          <w:szCs w:val="44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275D8"/>
          <w:spacing w:val="0"/>
          <w:sz w:val="15"/>
          <w:szCs w:val="15"/>
          <w:u w:val="none"/>
          <w:shd w:val="clear" w:fill="F2FAFF"/>
        </w:rPr>
        <w:t> 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44"/>
          <w:szCs w:val="44"/>
          <w:u w:val="none"/>
          <w:shd w:val="clear"/>
        </w:rPr>
        <w:t>水产养殖尾水治理经费项目</w:t>
      </w:r>
      <w:bookmarkEnd w:id="0"/>
      <w:r>
        <w:rPr>
          <w:rFonts w:hint="eastAsia" w:ascii="方正小标宋_GBK" w:hAnsi="方正小标宋_GBK" w:eastAsia="方正小标宋_GBK" w:cs="方正小标宋_GBK"/>
          <w:snapToGrid w:val="0"/>
          <w:color w:val="auto"/>
          <w:spacing w:val="0"/>
          <w:kern w:val="0"/>
          <w:sz w:val="44"/>
          <w:szCs w:val="44"/>
        </w:rPr>
        <w:t>申报指南</w:t>
      </w:r>
    </w:p>
    <w:p>
      <w:pPr>
        <w:adjustRightInd w:val="0"/>
        <w:snapToGrid w:val="0"/>
        <w:spacing w:beforeLines="0" w:afterLines="0" w:line="59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/>
        </w:rPr>
        <w:t>项目名称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中山市养殖池塘升级改造与尾水治理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/>
        </w:rPr>
      </w:pP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</w:rPr>
        <w:t>二、申报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（一）申报主体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以镇（街）农业农村部门为单位集中申报并组织实施。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（二）申报条件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1.项目选址在《中山市养殖水域滩涂规划（2018-2030）》划定的养殖区、限制养殖区范围内，项目实施主体持有建设水域内有效的水域滩涂养殖证、不动产权证、土地承包合同等权证之一。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2.优先支持在省级水产健康养殖和生态养殖示范区、二级饮用水源保护区周边养殖池塘、中央环保督察指出的重点整治河涌流域周边池塘、集中连片养殖池塘等开展尾水治理。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3.禁止在《中山市养殖水域滩涂规划（2018-2030）》划定的禁养区内，以及2020年11月4日《国务院办公厅关于防止耕地“非粮化”稳定粮食生产的意见》（国办发〔2020〕44号）印发后违法违规占用耕地和永久基本农田开挖的养殖池塘，从事水产养殖及开展尾水设施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（三）建设内容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治理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模式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主要包括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“标准生产型”即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“三池两坝”尾水治理模式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“简易生态型”即生态沟渠或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人工湿地尾水治理模式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、</w:t>
      </w:r>
      <w:r>
        <w:rPr>
          <w:rFonts w:hint="default" w:ascii="Times New Roman" w:hAnsi="Times New Roman" w:eastAsia="仿宋_GB2312" w:cs="Times New Roman"/>
          <w:sz w:val="32"/>
        </w:rPr>
        <w:t>稻渔</w:t>
      </w:r>
      <w:r>
        <w:rPr>
          <w:rFonts w:hint="default" w:ascii="Times New Roman" w:hAnsi="Times New Roman" w:eastAsia="仿宋_GB2312" w:cs="Times New Roman"/>
          <w:sz w:val="32"/>
          <w:lang w:val="en-US"/>
        </w:rPr>
        <w:t>种养、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鱼菜共生尾水治理模式等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，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各地可根据养殖模式和环境条件，因地制宜选择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《广东省水产养殖尾水综合处理技术推荐模式（第一版）》（粤农农办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〔2021〕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40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号）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的模式开展尾水治理</w:t>
      </w:r>
      <w:r>
        <w:rPr>
          <w:rFonts w:hint="default" w:ascii="Times New Roman" w:hAnsi="Times New Roman" w:eastAsia="仿宋_GB2312" w:cs="Times New Roman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建设内容：生态沟渠、沉淀池、生物接触氧化池、集成微生物组曝气净化床、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人工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湿地、生态塘、过滤坝、集污系统以及养殖水槽、曝气增氧、吸污系统、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标识宣传、池塘改造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岸基一体化设备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等养殖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池塘尾水治理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设施设备。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" w:eastAsia="zh-CN" w:bidi="zh-TW"/>
        </w:rPr>
        <w:t>（四）</w:t>
      </w:r>
      <w:r>
        <w:rPr>
          <w:rFonts w:hint="default" w:ascii="楷体_GB2312" w:hAnsi="楷体_GB2312" w:eastAsia="楷体_GB2312" w:cs="楷体_GB2312"/>
          <w:b w:val="0"/>
          <w:bCs w:val="0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奖补标准</w:t>
      </w:r>
    </w:p>
    <w:p>
      <w:pPr>
        <w:spacing w:beforeLines="0" w:afterLines="0" w:line="560" w:lineRule="exact"/>
        <w:ind w:firstLine="616" w:firstLineChars="200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（一）“简易生态型”奖补标准：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设施包括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</w:rPr>
        <w:t>进排水渠、生态沟渠和养殖尾水治理设施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主要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采用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“一池一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渠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”、“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渔稻共作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“鱼菜共生”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lang w:eastAsia="zh-CN"/>
        </w:rPr>
        <w:t>以及“人工湿地”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处理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工艺。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2022-2024年分别按照建设合同造价（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包括方案编制、评审、施工图设计、中介预算、项目招投标、监理、验收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与工程项目相关的其他费用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及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养殖池塘升级改造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、</w:t>
      </w:r>
      <w:r>
        <w:rPr>
          <w:rFonts w:ascii="仿宋" w:hAnsi="仿宋" w:eastAsia="仿宋" w:cs="仿宋"/>
          <w:spacing w:val="4"/>
          <w:sz w:val="31"/>
          <w:szCs w:val="31"/>
        </w:rPr>
        <w:t>养殖尾水处理设施建设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费用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）的40%、30%、25%进行奖补，奖补标准最高分别不超过1000元/亩、750元/亩和625元/亩。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56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（二）“标准生产型”奖补标准：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设施包括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</w:rPr>
        <w:t>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排水渠（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分开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）、沉淀池、过滤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Hans"/>
        </w:rPr>
        <w:t>设施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（坝/池/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Hans"/>
        </w:rPr>
        <w:t>其他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）、曝气氧化池、生态净化池等，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其治理设施面积需达到所要治理养殖总面积的一定比例（具体见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bidi="ar"/>
        </w:rPr>
        <w:t>省厅推荐模式）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主要采用“三池两坝”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lang w:val="zh-CN" w:eastAsia="zh-CN" w:bidi="zh-CN"/>
        </w:rPr>
        <w:t>“四池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</w:rPr>
        <w:t>三坝”</w:t>
      </w:r>
      <w:r>
        <w:rPr>
          <w:rFonts w:hint="eastAsia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lang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lang w:val="zh-CN" w:eastAsia="zh-CN" w:bidi="zh-CN"/>
        </w:rPr>
        <w:t>“三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</w:rPr>
        <w:t>池两坝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lang w:val="en-US" w:eastAsia="zh-CN"/>
        </w:rPr>
        <w:t>+湿地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处理工艺。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2022-2024年分别按照建设合同造价（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包括方案编制、评审、施工图设计、中介预算、项目招投标、监理、验收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与工程项目相关的其他费用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及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养殖池塘升级改造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、</w:t>
      </w:r>
      <w:r>
        <w:rPr>
          <w:rFonts w:ascii="仿宋" w:hAnsi="仿宋" w:eastAsia="仿宋" w:cs="仿宋"/>
          <w:spacing w:val="4"/>
          <w:sz w:val="31"/>
          <w:szCs w:val="31"/>
        </w:rPr>
        <w:t>养殖尾水处理设施建设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费用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）的40%、30%、25%进行奖补，奖补标准最高分别不超过1600元/亩、1200元/亩和1000元/亩。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 w:firstLine="160" w:firstLineChars="5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lang w:val="en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实施年限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" w:eastAsia="zh-CN"/>
        </w:rPr>
        <w:t>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原则上不超过1年，按年度实施。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/>
        </w:rPr>
        <w:t>三、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</w:rPr>
        <w:t>申报程序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 w:firstLine="160" w:firstLineChars="5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lang w:val="en"/>
        </w:rPr>
        <w:t>（一）</w:t>
      </w:r>
      <w:r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/>
        </w:rPr>
        <w:t>组织申报</w:t>
      </w:r>
    </w:p>
    <w:p>
      <w:pPr>
        <w:adjustRightInd w:val="0"/>
        <w:snapToGrid w:val="0"/>
        <w:spacing w:line="560" w:lineRule="exact"/>
        <w:ind w:firstLine="616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各镇街农业农村部门组织项目申报。各实施主体按照申报要求，组织有资质的设计单位编制项目实施方案（包括实施方案说明、概算和工程设计图）上报镇街农业农村部门。各镇街要对各实施单位申报的项目实施方案进行全面评审，重点审查申报项目的土地属性、建设内容以及实施方案的规范性、合理性和可行性。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通过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中山市养殖池塘升级改造与尾水治理项目库系统报送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市农业农村局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 w:bidi="en-US"/>
        </w:rPr>
        <w:t>。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不接受企事业单位单独申报。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 w:firstLine="160" w:firstLineChars="5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lang w:val="en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lang w:val="en"/>
        </w:rPr>
        <w:t>（二）网上申报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各镇街农业农村部门须进行网上申报（各单位账号由市农业农村局统一进行配置），网上申报网址：http://fishery.rxceping.com/index/login。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养殖池塘尾水治理项目实施动态入库管理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</w:rPr>
      </w:pPr>
      <w:r>
        <w:rPr>
          <w:rFonts w:hint="default" w:ascii="黑体" w:hAnsi="黑体" w:eastAsia="黑体" w:cs="黑体"/>
          <w:color w:val="auto"/>
          <w:sz w:val="32"/>
          <w:szCs w:val="32"/>
        </w:rPr>
        <w:t>到202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4</w:t>
      </w:r>
      <w:r>
        <w:rPr>
          <w:rFonts w:hint="default" w:ascii="黑体" w:hAnsi="黑体" w:eastAsia="黑体" w:cs="黑体"/>
          <w:color w:val="auto"/>
          <w:sz w:val="32"/>
          <w:szCs w:val="32"/>
        </w:rPr>
        <w:t>年12月31日止，完成市下达给各镇街的年度任务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/>
        </w:rPr>
      </w:pP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五、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其他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/>
        </w:rPr>
        <w:t>工作要求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52" w:lineRule="exact"/>
        <w:ind w:left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（一）各镇街农业农村部门必须对所申报项目及申报材料的真实性、可行性、合规性和完整性进行审核。加强资金使用监督，落实绩效目标，确保项目按时保质完成建设。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52" w:lineRule="exact"/>
        <w:ind w:left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（二）各镇街农业农村部门要组织项目实施单位委托具备农业、水利、市政或环保行业专业丙级（含）或以上资质的单位编制实施方案。各镇街要组织联席会议对项目实施方案进行评审，对建设内容进行严格把关。</w:t>
      </w:r>
    </w:p>
    <w:p>
      <w:pPr>
        <w:spacing w:line="552" w:lineRule="exact"/>
        <w:ind w:left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（三）各镇街农业农村部门主要负责人要亲自抓项目申报工作，具体申报工作要安排专人跟进，编排好年度治理计划，确保按时完成项目申报工作。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  <w:tab w:val="left" w:pos="1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Courier New" w:eastAsia="仿宋_GB2312" w:cs="Courier New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shd w:val="clear" w:color="auto" w:fill="FFFFFF"/>
          <w:lang w:val="en-US" w:eastAsia="zh-CN"/>
        </w:rPr>
        <w:t>六、</w:t>
      </w:r>
      <w:r>
        <w:rPr>
          <w:rFonts w:hint="default" w:ascii="CESI黑体-GB2312" w:hAnsi="CESI黑体-GB2312" w:eastAsia="CESI黑体-GB2312" w:cs="CESI黑体-GB2312"/>
          <w:color w:val="auto"/>
          <w:sz w:val="32"/>
          <w:szCs w:val="32"/>
          <w:shd w:val="clear" w:color="auto" w:fill="FFFFFF"/>
          <w:lang w:val="en-US" w:eastAsia="zh-CN"/>
        </w:rPr>
        <w:t>咨询方式。</w:t>
      </w:r>
      <w:r>
        <w:rPr>
          <w:rFonts w:hint="default" w:ascii="仿宋_GB2312" w:hAnsi="Courier New" w:eastAsia="仿宋_GB2312" w:cs="Courier New"/>
          <w:color w:val="auto"/>
          <w:sz w:val="32"/>
          <w:szCs w:val="32"/>
          <w:shd w:val="clear" w:color="auto" w:fill="FFFFFF"/>
          <w:lang w:val="en-US" w:eastAsia="zh-CN"/>
        </w:rPr>
        <w:t>渔业</w:t>
      </w:r>
      <w:r>
        <w:rPr>
          <w:rFonts w:hint="eastAsia" w:ascii="仿宋_GB2312" w:hAnsi="Courier New" w:eastAsia="仿宋_GB2312" w:cs="Courier New"/>
          <w:color w:val="auto"/>
          <w:sz w:val="32"/>
          <w:szCs w:val="32"/>
          <w:shd w:val="clear" w:color="auto" w:fill="FFFFFF"/>
          <w:lang w:val="en-US" w:eastAsia="zh-CN"/>
        </w:rPr>
        <w:t>管理科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/>
        </w:rPr>
        <w:t>88221316</w:t>
      </w:r>
      <w:r>
        <w:rPr>
          <w:rFonts w:hint="default" w:ascii="仿宋_GB2312" w:hAnsi="Courier New" w:eastAsia="仿宋_GB2312" w:cs="Courier New"/>
          <w:color w:val="auto"/>
          <w:sz w:val="32"/>
          <w:szCs w:val="32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</w:rPr>
      </w:pPr>
    </w:p>
    <w:p>
      <w:pPr>
        <w:widowControl/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附件：</w:t>
      </w:r>
    </w:p>
    <w:p>
      <w:pPr>
        <w:widowControl/>
        <w:ind w:firstLine="640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中山市养殖池塘升级改造与尾水治理项目申报入库汇总表</w:t>
      </w:r>
    </w:p>
    <w:p>
      <w:pPr>
        <w:widowControl/>
        <w:ind w:firstLine="640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11-</w:t>
      </w:r>
      <w:r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2.中山市养殖池塘升级改造与尾水治理项目申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报</w:t>
      </w:r>
      <w:r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书</w:t>
      </w:r>
    </w:p>
    <w:p>
      <w:pPr>
        <w:widowControl/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"/>
        </w:rPr>
        <w:sectPr>
          <w:pgSz w:w="11905" w:h="16838"/>
          <w:pgMar w:top="1531" w:right="1871" w:bottom="1531" w:left="1871" w:header="850" w:footer="141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632" w:charSpace="0"/>
        </w:sect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11-</w:t>
      </w:r>
      <w:r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3.中山市养殖池塘升级改造与尾水治理项目实施方案编制要求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DDEC32"/>
    <w:multiLevelType w:val="singleLevel"/>
    <w:tmpl w:val="64DDEC32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54694"/>
    <w:rsid w:val="1A05053E"/>
    <w:rsid w:val="6A6A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 w:val="0"/>
      <w:autoSpaceDE w:val="0"/>
      <w:autoSpaceDN w:val="0"/>
      <w:adjustRightInd w:val="0"/>
      <w:snapToGrid w:val="0"/>
      <w:spacing w:line="276" w:lineRule="auto"/>
      <w:jc w:val="center"/>
      <w:outlineLvl w:val="0"/>
    </w:pPr>
    <w:rPr>
      <w:rFonts w:eastAsia="微软简标宋"/>
      <w:bCs/>
      <w:snapToGrid w:val="0"/>
      <w:kern w:val="44"/>
      <w:sz w:val="44"/>
      <w:szCs w:val="4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4">
    <w:name w:val="Body Text"/>
    <w:basedOn w:val="1"/>
    <w:next w:val="5"/>
    <w:qFormat/>
    <w:uiPriority w:val="0"/>
    <w:pPr>
      <w:spacing w:before="100" w:beforeAutospacing="1"/>
      <w:ind w:left="117"/>
      <w:jc w:val="left"/>
    </w:pPr>
    <w:rPr>
      <w:rFonts w:ascii="宋体" w:hAnsi="宋体" w:eastAsia="宋体" w:cs="Times New Roman"/>
      <w:kern w:val="0"/>
      <w:sz w:val="29"/>
      <w:szCs w:val="29"/>
    </w:r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styleId="6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9">
    <w:name w:val="报告正文"/>
    <w:basedOn w:val="1"/>
    <w:qFormat/>
    <w:uiPriority w:val="0"/>
    <w:pPr>
      <w:ind w:firstLine="640" w:firstLineChars="200"/>
    </w:pPr>
    <w:rPr>
      <w:rFonts w:ascii="Times New Roman" w:hAnsi="Times New Roman" w:eastAsia="仿宋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2023-09-01T03:34:00Z</dcterms:created>
  <dc:creator>Administrator</dc:creator>
  <cp:lastModifiedBy>朱任翔</cp:lastModifiedBy>
  <dcterms:modified xsi:type="dcterms:W3CDTF">2023-09-05T07:32:00Z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01DF180B9F7B4646BDE629C655D71D14</vt:lpwstr>
  </property>
</Properties>
</file>